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36"/>
        <w:rPr>
          <w:szCs w:val="16"/>
          <w:lang w:val="en-US"/>
        </w:rPr>
      </w:pPr>
      <w:r>
        <w:rPr>
          <w:szCs w:val="16"/>
          <w:lang w:val="en-US"/>
        </w:rPr>
      </w:r>
      <w:r>
        <w:rPr>
          <w:szCs w:val="16"/>
          <w:lang w:val="en-US"/>
        </w:rPr>
      </w:r>
      <w:r>
        <w:rPr>
          <w:szCs w:val="16"/>
          <w:lang w:val="en-US"/>
        </w:rPr>
      </w:r>
    </w:p>
    <w:p>
      <w:pPr>
        <w:pStyle w:val="936"/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pStyle w:val="936"/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pStyle w:val="936"/>
        <w:rPr>
          <w:szCs w:val="16"/>
        </w:rPr>
      </w:pPr>
      <w:r>
        <w:rPr>
          <w:szCs w:val="16"/>
        </w:rPr>
      </w:r>
      <w:r>
        <w:rPr>
          <w:szCs w:val="16"/>
        </w:rPr>
      </w:r>
      <w:r>
        <w:rPr>
          <w:szCs w:val="16"/>
        </w:rPr>
      </w:r>
    </w:p>
    <w:p>
      <w:pPr>
        <w:pStyle w:val="936"/>
        <w:tabs>
          <w:tab w:val="left" w:pos="8860" w:leader="none"/>
        </w:tabs>
        <w:rPr>
          <w:szCs w:val="16"/>
        </w:rPr>
      </w:pPr>
      <w:r>
        <w:rPr>
          <w:szCs w:val="16"/>
        </w:rPr>
        <w:tab/>
      </w:r>
      <w:r>
        <w:rPr>
          <w:szCs w:val="16"/>
        </w:rPr>
      </w:r>
      <w:r>
        <w:rPr>
          <w:szCs w:val="16"/>
        </w:rPr>
      </w:r>
    </w:p>
    <w:p>
      <w:pPr>
        <w:pStyle w:val="936"/>
        <w:jc w:val="center"/>
      </w:pPr>
      <w:r/>
      <w:r/>
    </w:p>
    <w:p>
      <w:pPr>
        <w:pStyle w:val="936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ПОЯСНИТЕЛЬНАЯ ЗАПИСКА</w:t>
      </w:r>
      <w:r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936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к проекту распоряжения Правительства Новосибирской области 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936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«</w:t>
      </w:r>
      <w:r>
        <w:rPr>
          <w:b/>
          <w:sz w:val="27"/>
          <w:szCs w:val="27"/>
        </w:rPr>
        <w:t xml:space="preserve">О проекте изменений в прогнозный план приватизации государственного имущества Новосибирской области на 2026</w:t>
      </w:r>
      <w:r>
        <w:rPr>
          <w:b/>
          <w:sz w:val="27"/>
          <w:szCs w:val="27"/>
        </w:rPr>
        <w:t xml:space="preserve">-2028</w:t>
      </w:r>
      <w:r>
        <w:rPr>
          <w:b/>
          <w:sz w:val="27"/>
          <w:szCs w:val="27"/>
        </w:rPr>
        <w:t xml:space="preserve"> годы</w:t>
      </w:r>
      <w:r>
        <w:rPr>
          <w:b/>
          <w:sz w:val="27"/>
          <w:szCs w:val="27"/>
        </w:rPr>
        <w:t xml:space="preserve">»</w:t>
      </w:r>
      <w:r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936"/>
        <w:ind w:firstLine="540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</w:r>
      <w:r>
        <w:rPr>
          <w:b/>
          <w:sz w:val="27"/>
          <w:szCs w:val="27"/>
        </w:rPr>
      </w:r>
      <w:r>
        <w:rPr>
          <w:b/>
          <w:sz w:val="27"/>
          <w:szCs w:val="27"/>
        </w:rPr>
      </w:r>
    </w:p>
    <w:p>
      <w:pPr>
        <w:pStyle w:val="936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Проект распоряжения Правительства Новосибирской области «О </w:t>
      </w:r>
      <w:r>
        <w:rPr>
          <w:sz w:val="27"/>
          <w:szCs w:val="27"/>
        </w:rPr>
        <w:t xml:space="preserve">проекте изменений в прогнозный план приватизации государственного имущества Новосибирской области на 2026</w:t>
      </w:r>
      <w:r>
        <w:rPr>
          <w:sz w:val="27"/>
          <w:szCs w:val="27"/>
        </w:rPr>
        <w:t xml:space="preserve">-2028</w:t>
      </w:r>
      <w:r>
        <w:rPr>
          <w:sz w:val="27"/>
          <w:szCs w:val="27"/>
        </w:rPr>
        <w:t xml:space="preserve"> годы</w:t>
      </w:r>
      <w:r>
        <w:rPr>
          <w:sz w:val="27"/>
          <w:szCs w:val="27"/>
        </w:rPr>
        <w:t xml:space="preserve">» </w:t>
      </w:r>
      <w:r>
        <w:rPr>
          <w:sz w:val="27"/>
          <w:szCs w:val="27"/>
        </w:rPr>
        <w:t xml:space="preserve">разработан в соотве</w:t>
      </w:r>
      <w:r>
        <w:rPr>
          <w:sz w:val="27"/>
          <w:szCs w:val="27"/>
        </w:rPr>
        <w:t xml:space="preserve">тствии с Федеральным законом от </w:t>
      </w:r>
      <w:r>
        <w:rPr>
          <w:sz w:val="27"/>
          <w:szCs w:val="27"/>
        </w:rPr>
        <w:t xml:space="preserve">21.12.2001 № 178-ФЗ «О приватизации государственного и муниципального имущества»</w:t>
      </w:r>
      <w:r>
        <w:rPr>
          <w:sz w:val="27"/>
          <w:szCs w:val="27"/>
        </w:rPr>
        <w:t xml:space="preserve"> (далее – Федеральный закон № 178-ФЗ)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 xml:space="preserve">Законом Новосибирской области от 20.05.2004 № 181-ОЗ «О приватизации государственного и</w:t>
      </w:r>
      <w:r>
        <w:rPr>
          <w:sz w:val="27"/>
          <w:szCs w:val="27"/>
        </w:rPr>
        <w:t xml:space="preserve">мущества </w:t>
      </w:r>
      <w:r>
        <w:rPr>
          <w:sz w:val="27"/>
          <w:szCs w:val="27"/>
        </w:rPr>
        <w:t xml:space="preserve">Новосибирской области</w:t>
      </w:r>
      <w:r>
        <w:rPr>
          <w:sz w:val="27"/>
          <w:szCs w:val="27"/>
        </w:rPr>
        <w:t xml:space="preserve">, постановлением Правительства Новосибирской области от 05.06.2014 № 223-п «Об утверждении Порядка планирования приватизации государственного имущества Новосибирской области»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6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Прогнозный план приватизации государственного имущества Новосибирской области на 2026</w:t>
      </w:r>
      <w:r>
        <w:rPr>
          <w:sz w:val="27"/>
          <w:szCs w:val="27"/>
        </w:rPr>
        <w:t xml:space="preserve">-2028</w:t>
      </w:r>
      <w:r>
        <w:rPr>
          <w:sz w:val="27"/>
          <w:szCs w:val="27"/>
        </w:rPr>
        <w:t xml:space="preserve"> годы утвержден постановлением Законодательного Собрания Новосибирской области от 25.11.2021 № 211</w:t>
      </w:r>
      <w:r>
        <w:rPr>
          <w:sz w:val="27"/>
          <w:szCs w:val="27"/>
        </w:rPr>
        <w:t xml:space="preserve"> (в редакции постановления Законодательного Собрания Новосибирской области от 30.10.2025 № 46)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6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Представленный п</w:t>
      </w:r>
      <w:r>
        <w:rPr>
          <w:sz w:val="27"/>
          <w:szCs w:val="27"/>
        </w:rPr>
        <w:t xml:space="preserve">роект </w:t>
      </w:r>
      <w:r>
        <w:rPr>
          <w:sz w:val="27"/>
          <w:szCs w:val="27"/>
        </w:rPr>
        <w:t xml:space="preserve">изменений в прогнозный план приватизации государственного имущества Новосибирской области на 2026-2028 годы (далее – Проект)</w:t>
      </w:r>
      <w:r>
        <w:rPr>
          <w:sz w:val="27"/>
          <w:szCs w:val="27"/>
        </w:rPr>
        <w:t xml:space="preserve"> включает в себя предложения по внесению изменений в действующий план в части: актуализации прогноза объемов поступлений в обла</w:t>
      </w:r>
      <w:r>
        <w:rPr>
          <w:sz w:val="27"/>
          <w:szCs w:val="27"/>
        </w:rPr>
        <w:t xml:space="preserve">стной бюджет Новосибирской области; исключения государственного имущества Новосибирской области, приватизация которого завершена; дополнения плана объектами государственного имущества Новосибирской области, приватизация которых возможна в плановом периоде.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6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соответствии с пунктом 11.1. Порядка </w:t>
      </w:r>
      <w:r>
        <w:rPr>
          <w:sz w:val="27"/>
          <w:szCs w:val="27"/>
        </w:rPr>
        <w:t xml:space="preserve">планирования приватизации государственного имущества Новосибирской области</w:t>
      </w:r>
      <w:r>
        <w:rPr>
          <w:sz w:val="27"/>
          <w:szCs w:val="27"/>
        </w:rPr>
        <w:t xml:space="preserve">, утвержденного </w:t>
      </w:r>
      <w:r>
        <w:rPr>
          <w:sz w:val="27"/>
          <w:szCs w:val="27"/>
        </w:rPr>
        <w:t xml:space="preserve">постановлением Правительства Новосибирской области от 05.06.2014 № 223-п</w:t>
      </w:r>
      <w:r>
        <w:rPr>
          <w:sz w:val="27"/>
          <w:szCs w:val="27"/>
        </w:rPr>
        <w:t xml:space="preserve">, </w:t>
      </w:r>
      <w:r>
        <w:rPr>
          <w:sz w:val="27"/>
          <w:szCs w:val="27"/>
          <w:highlight w:val="none"/>
        </w:rPr>
        <w:t xml:space="preserve">внесение изменений в утвержденный план осуществляется по инициативе департамента, а также с учетом предложений лиц, указанных в пункте 7 Порядка </w:t>
      </w:r>
      <w:r>
        <w:rPr>
          <w:sz w:val="27"/>
          <w:szCs w:val="27"/>
        </w:rPr>
        <w:t xml:space="preserve">планирования приватизации государственного имущества Новосибирской области</w:t>
      </w:r>
      <w:r>
        <w:rPr>
          <w:sz w:val="27"/>
          <w:szCs w:val="27"/>
          <w:highlight w:val="none"/>
        </w:rPr>
        <w:t xml:space="preserve">, поступивших в департамент.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6"/>
        <w:ind w:firstLine="54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представленном Проекте актуализирован прогноз объемов поступлений в областной бюджет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в результате исполнения плана приватизации, исключено</w:t>
      </w:r>
      <w:r>
        <w:rPr>
          <w:sz w:val="27"/>
          <w:szCs w:val="27"/>
        </w:rPr>
        <w:t xml:space="preserve"> государственное имущество Новосибирской области, приватизация которого завершена, а также план приватизации </w:t>
      </w:r>
      <w:r>
        <w:rPr>
          <w:sz w:val="27"/>
          <w:szCs w:val="27"/>
        </w:rPr>
        <w:t xml:space="preserve">дополнен объектами государственного имущества Новосибирской области, приватизация которых возможна в плановом периоде.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Проект дополнен </w:t>
      </w:r>
      <w:r>
        <w:rPr>
          <w:sz w:val="27"/>
          <w:szCs w:val="27"/>
        </w:rPr>
        <w:t xml:space="preserve">имуществом, приватизация которого планируется в 2026-2028 годах, а именно:</w:t>
      </w:r>
      <w:r>
        <w:rPr>
          <w:sz w:val="27"/>
          <w:szCs w:val="27"/>
        </w:rPr>
        <w:t xml:space="preserve">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1. Здание (овощехранилище), </w:t>
      </w:r>
      <w:r>
        <w:rPr>
          <w:sz w:val="27"/>
          <w:szCs w:val="27"/>
          <w:highlight w:val="none"/>
        </w:rPr>
        <w:t xml:space="preserve">кадастровый номер: 54:35:084645:41, площадь 91,5 кв.м,</w:t>
      </w:r>
      <w:r>
        <w:rPr>
          <w:sz w:val="27"/>
          <w:szCs w:val="27"/>
          <w:highlight w:val="none"/>
        </w:rPr>
        <w:t xml:space="preserve"> расположенное на земельном участке с кадастровым номером </w:t>
      </w:r>
      <w:r>
        <w:rPr>
          <w:sz w:val="27"/>
          <w:szCs w:val="27"/>
          <w:highlight w:val="none"/>
        </w:rPr>
        <w:t xml:space="preserve">54:35:084646:53, площадь 469 кв.м</w:t>
      </w:r>
      <w:r>
        <w:rPr>
          <w:sz w:val="27"/>
          <w:szCs w:val="27"/>
          <w:highlight w:val="none"/>
        </w:rPr>
        <w:t xml:space="preserve">, по адресу: </w:t>
      </w:r>
      <w:r>
        <w:rPr>
          <w:sz w:val="27"/>
          <w:szCs w:val="27"/>
          <w:highlight w:val="none"/>
        </w:rPr>
        <w:t xml:space="preserve">Новосибирская область, город Новосибирск, улица Ученическая, дом 11</w:t>
      </w:r>
      <w:r>
        <w:rPr>
          <w:sz w:val="27"/>
          <w:szCs w:val="27"/>
          <w:highlight w:val="none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2. Помещение (гараж), кадастровый номер </w:t>
      </w:r>
      <w:r>
        <w:rPr>
          <w:sz w:val="27"/>
          <w:szCs w:val="27"/>
          <w:highlight w:val="none"/>
        </w:rPr>
        <w:t xml:space="preserve">54:33:050102:304, площадь 136,3 кв.м,</w:t>
      </w:r>
      <w:r>
        <w:rPr>
          <w:sz w:val="27"/>
          <w:szCs w:val="27"/>
          <w:highlight w:val="none"/>
        </w:rPr>
        <w:t xml:space="preserve"> по адресу: </w:t>
      </w:r>
      <w:r>
        <w:rPr>
          <w:sz w:val="27"/>
          <w:szCs w:val="27"/>
          <w:highlight w:val="white"/>
        </w:rPr>
        <w:t xml:space="preserve">Новосибирская область, город Искитим, улица Станционная, дом 1в</w:t>
      </w:r>
      <w:r>
        <w:rPr>
          <w:sz w:val="27"/>
          <w:szCs w:val="27"/>
          <w:highlight w:val="white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3. Помещение (столярный цех), </w:t>
      </w:r>
      <w:r>
        <w:rPr>
          <w:sz w:val="27"/>
          <w:szCs w:val="27"/>
          <w:highlight w:val="none"/>
        </w:rPr>
        <w:t xml:space="preserve">кадастровый номер: </w:t>
      </w:r>
      <w:r>
        <w:rPr>
          <w:sz w:val="27"/>
          <w:szCs w:val="27"/>
          <w:highlight w:val="none"/>
        </w:rPr>
        <w:t xml:space="preserve">54:33:050102:297, площадь 74,8 кв.м,</w:t>
      </w:r>
      <w:r>
        <w:rPr>
          <w:sz w:val="27"/>
          <w:szCs w:val="27"/>
          <w:highlight w:val="none"/>
        </w:rPr>
        <w:t xml:space="preserve"> </w:t>
      </w:r>
      <w:r>
        <w:rPr>
          <w:sz w:val="27"/>
          <w:szCs w:val="27"/>
          <w:highlight w:val="none"/>
        </w:rPr>
        <w:t xml:space="preserve">по адресу: </w:t>
      </w:r>
      <w:r>
        <w:rPr>
          <w:sz w:val="27"/>
          <w:szCs w:val="27"/>
          <w:highlight w:val="white"/>
        </w:rPr>
        <w:t xml:space="preserve">Новосибирская область, город Искитим, улица Станционная, дом 1в</w:t>
      </w:r>
      <w:r>
        <w:rPr>
          <w:sz w:val="27"/>
          <w:szCs w:val="27"/>
          <w:highlight w:val="white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20"/>
        <w:jc w:val="both"/>
        <w:rPr>
          <w:sz w:val="27"/>
          <w:szCs w:val="27"/>
          <w:highlight w:val="yellow"/>
        </w:rPr>
      </w:pPr>
      <w:r>
        <w:rPr>
          <w:sz w:val="27"/>
          <w:szCs w:val="27"/>
          <w:highlight w:val="none"/>
        </w:rPr>
        <w:t xml:space="preserve">4. Помещение (склад), </w:t>
      </w:r>
      <w:r>
        <w:rPr>
          <w:sz w:val="27"/>
          <w:szCs w:val="27"/>
          <w:highlight w:val="none"/>
        </w:rPr>
        <w:t xml:space="preserve">кадастровый номер: </w:t>
      </w:r>
      <w:r>
        <w:rPr>
          <w:sz w:val="27"/>
          <w:szCs w:val="27"/>
          <w:highlight w:val="none"/>
        </w:rPr>
        <w:t xml:space="preserve">54:33:050102:298, площадь 34,2 кв.м, </w:t>
      </w:r>
      <w:r>
        <w:rPr>
          <w:sz w:val="27"/>
          <w:szCs w:val="27"/>
          <w:highlight w:val="none"/>
        </w:rPr>
        <w:t xml:space="preserve">по адресу: </w:t>
      </w:r>
      <w:r>
        <w:rPr>
          <w:sz w:val="27"/>
          <w:szCs w:val="27"/>
          <w:highlight w:val="white"/>
        </w:rPr>
        <w:t xml:space="preserve">Новосибирская область, город Искитим, улица Станционная, дом 1в</w:t>
      </w:r>
      <w:r>
        <w:rPr>
          <w:sz w:val="27"/>
          <w:szCs w:val="27"/>
          <w:highlight w:val="white"/>
        </w:rPr>
        <w:t xml:space="preserve">.</w:t>
      </w:r>
      <w:r>
        <w:rPr>
          <w:sz w:val="27"/>
          <w:szCs w:val="27"/>
          <w:highlight w:val="yellow"/>
        </w:rPr>
      </w:r>
      <w:r>
        <w:rPr>
          <w:sz w:val="27"/>
          <w:szCs w:val="27"/>
          <w:highlight w:val="yellow"/>
        </w:rPr>
      </w:r>
    </w:p>
    <w:p>
      <w:pPr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  <w:t xml:space="preserve">5. Помещение, </w:t>
      </w:r>
      <w:r>
        <w:rPr>
          <w:sz w:val="27"/>
          <w:szCs w:val="27"/>
          <w:highlight w:val="none"/>
        </w:rPr>
        <w:t xml:space="preserve">кадастровый номер: 54:35:064270:2401, площадь 60,4 кв.м, </w:t>
      </w:r>
      <w:r>
        <w:rPr>
          <w:sz w:val="27"/>
          <w:szCs w:val="27"/>
          <w:highlight w:val="none"/>
        </w:rPr>
        <w:t xml:space="preserve">по адресу: </w:t>
      </w:r>
      <w:r>
        <w:rPr>
          <w:sz w:val="27"/>
          <w:szCs w:val="27"/>
          <w:highlight w:val="none"/>
        </w:rPr>
        <w:t xml:space="preserve">Новосибирская область, город Новосибирск, улица Планировочная, дом 1/2</w:t>
      </w:r>
      <w:r>
        <w:rPr>
          <w:sz w:val="27"/>
          <w:szCs w:val="27"/>
          <w:highlight w:val="none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6. Помещение, </w:t>
      </w:r>
      <w:r>
        <w:rPr>
          <w:sz w:val="27"/>
          <w:szCs w:val="27"/>
          <w:highlight w:val="none"/>
        </w:rPr>
        <w:t xml:space="preserve">кадастровый номер: 54:34:012305:128, площадь 34 кв.м, </w:t>
      </w:r>
      <w:r>
        <w:rPr>
          <w:sz w:val="27"/>
          <w:szCs w:val="27"/>
          <w:highlight w:val="none"/>
        </w:rPr>
        <w:t xml:space="preserve">по адресу: </w:t>
      </w:r>
      <w:r>
        <w:rPr>
          <w:sz w:val="27"/>
          <w:szCs w:val="27"/>
          <w:highlight w:val="none"/>
        </w:rPr>
        <w:t xml:space="preserve">Новосибирская область, город Куйбышев, улица Коммунистическая, дом 34</w:t>
      </w:r>
      <w:r>
        <w:rPr>
          <w:sz w:val="27"/>
          <w:szCs w:val="27"/>
          <w:highlight w:val="none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7. Помещение, </w:t>
      </w:r>
      <w:r>
        <w:rPr>
          <w:sz w:val="27"/>
          <w:szCs w:val="27"/>
          <w:highlight w:val="none"/>
        </w:rPr>
        <w:t xml:space="preserve">кадастровый номер: 54:11:040313:193, площадь 17,1 кв.м, </w:t>
      </w:r>
      <w:r>
        <w:rPr>
          <w:sz w:val="27"/>
          <w:szCs w:val="27"/>
          <w:highlight w:val="none"/>
        </w:rPr>
        <w:t xml:space="preserve">по адресу: </w:t>
      </w:r>
      <w:r>
        <w:rPr>
          <w:sz w:val="27"/>
          <w:szCs w:val="27"/>
          <w:highlight w:val="none"/>
        </w:rPr>
        <w:t xml:space="preserve">Новосибирская область, Коченевский район, рабочий поселок Коченево, улица Строительная, дом 15а</w:t>
      </w:r>
      <w:r>
        <w:rPr>
          <w:sz w:val="27"/>
          <w:szCs w:val="27"/>
          <w:highlight w:val="none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8. Помещение, </w:t>
      </w:r>
      <w:r>
        <w:rPr>
          <w:sz w:val="27"/>
          <w:szCs w:val="27"/>
          <w:highlight w:val="none"/>
        </w:rPr>
        <w:t xml:space="preserve">кадастровый номер: 54:35:064145:5561, площадь 579,3 кв.м,</w:t>
      </w:r>
      <w:r>
        <w:rPr>
          <w:sz w:val="27"/>
          <w:szCs w:val="27"/>
          <w:highlight w:val="none"/>
        </w:rPr>
        <w:t xml:space="preserve"> д</w:t>
      </w:r>
      <w:r>
        <w:rPr>
          <w:sz w:val="27"/>
          <w:szCs w:val="27"/>
          <w:highlight w:val="none"/>
        </w:rPr>
        <w:t xml:space="preserve">вижимое имущество в количестве 1 единицы – </w:t>
      </w:r>
      <w:r>
        <w:rPr>
          <w:sz w:val="27"/>
          <w:szCs w:val="27"/>
          <w:highlight w:val="none"/>
        </w:rPr>
        <w:t xml:space="preserve">автоматическая пожарная сигнализация </w:t>
      </w:r>
      <w:r>
        <w:rPr>
          <w:sz w:val="27"/>
          <w:szCs w:val="27"/>
          <w:highlight w:val="none"/>
        </w:rPr>
        <w:t xml:space="preserve">по адресу: </w:t>
      </w:r>
      <w:r>
        <w:rPr>
          <w:sz w:val="27"/>
          <w:szCs w:val="27"/>
          <w:highlight w:val="none"/>
        </w:rPr>
        <w:t xml:space="preserve">Новосибирская область, город Новосибирск, улица Котовского, дом 36</w:t>
      </w:r>
      <w:r>
        <w:rPr>
          <w:sz w:val="27"/>
          <w:szCs w:val="27"/>
          <w:highlight w:val="none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20"/>
        <w:jc w:val="both"/>
        <w:rPr>
          <w:sz w:val="28"/>
          <w:szCs w:val="28"/>
          <w:highlight w:val="none"/>
        </w:rPr>
      </w:pPr>
      <w:r>
        <w:rPr>
          <w:sz w:val="27"/>
          <w:szCs w:val="27"/>
          <w:highlight w:val="none"/>
        </w:rPr>
        <w:t xml:space="preserve">9. Здание, </w:t>
      </w:r>
      <w:r>
        <w:rPr>
          <w:sz w:val="27"/>
          <w:szCs w:val="27"/>
          <w:highlight w:val="none"/>
        </w:rPr>
        <w:t xml:space="preserve">кадастровый номер: 54:35:064169:23, площадь 2447 кв.м</w:t>
      </w:r>
      <w:r>
        <w:rPr>
          <w:sz w:val="27"/>
          <w:szCs w:val="27"/>
          <w:highlight w:val="none"/>
        </w:rPr>
        <w:t xml:space="preserve">, д</w:t>
      </w:r>
      <w:r>
        <w:rPr>
          <w:sz w:val="27"/>
          <w:szCs w:val="27"/>
          <w:highlight w:val="none"/>
        </w:rPr>
        <w:t xml:space="preserve">вижимое имущество в количестве 1 единицы - у</w:t>
      </w:r>
      <w:r>
        <w:rPr>
          <w:sz w:val="27"/>
          <w:szCs w:val="27"/>
          <w:highlight w:val="none"/>
        </w:rPr>
        <w:t xml:space="preserve">зел учета тепловой энергии и холодной воды,</w:t>
      </w:r>
      <w:r>
        <w:rPr>
          <w:sz w:val="27"/>
          <w:szCs w:val="27"/>
          <w:highlight w:val="none"/>
        </w:rPr>
        <w:t xml:space="preserve"> 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  <w:t xml:space="preserve"> расположенные на земельном участке с </w:t>
      </w:r>
      <w:r>
        <w:rPr>
          <w:sz w:val="27"/>
          <w:szCs w:val="27"/>
          <w:highlight w:val="none"/>
        </w:rPr>
        <w:t xml:space="preserve">кадастровым номером: 54:35:064160:32, площадь 2064 кв.м,</w:t>
      </w:r>
      <w:r>
        <w:rPr>
          <w:sz w:val="27"/>
          <w:szCs w:val="27"/>
          <w:highlight w:val="none"/>
        </w:rPr>
        <w:t xml:space="preserve"> по адресу: </w:t>
      </w:r>
      <w:r>
        <w:rPr>
          <w:sz w:val="27"/>
          <w:szCs w:val="27"/>
          <w:highlight w:val="none"/>
        </w:rPr>
        <w:t xml:space="preserve">Новосибирская область, город Новосибирск, переулок 2-й Пархоменко, дом 7</w:t>
      </w:r>
      <w:r>
        <w:rPr>
          <w:sz w:val="27"/>
          <w:szCs w:val="27"/>
          <w:highlight w:val="none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</w:rPr>
      </w:r>
      <w:r>
        <w:rPr>
          <w:sz w:val="27"/>
          <w:szCs w:val="27"/>
          <w:highlight w:val="none"/>
        </w:rPr>
      </w:r>
    </w:p>
    <w:p>
      <w:pPr>
        <w:pStyle w:val="936"/>
        <w:ind w:firstLine="708"/>
        <w:jc w:val="both"/>
        <w:rPr>
          <w:sz w:val="27"/>
          <w:szCs w:val="27"/>
          <w:highlight w:val="none"/>
        </w:rPr>
      </w:pPr>
      <w:r>
        <w:rPr>
          <w:sz w:val="27"/>
          <w:szCs w:val="27"/>
        </w:rPr>
        <w:t xml:space="preserve">Решение о способе приватизации государственного имущества Новосибирской области, включенного в </w:t>
      </w:r>
      <w:r>
        <w:rPr>
          <w:sz w:val="27"/>
          <w:szCs w:val="27"/>
        </w:rPr>
        <w:t xml:space="preserve">П</w:t>
      </w:r>
      <w:r>
        <w:rPr>
          <w:sz w:val="27"/>
          <w:szCs w:val="27"/>
        </w:rPr>
        <w:t xml:space="preserve">роект</w:t>
      </w:r>
      <w:r>
        <w:rPr>
          <w:sz w:val="27"/>
          <w:szCs w:val="27"/>
        </w:rPr>
        <w:t xml:space="preserve">, будет принято департаментом </w:t>
      </w:r>
      <w:r>
        <w:rPr>
          <w:sz w:val="27"/>
          <w:szCs w:val="27"/>
        </w:rPr>
        <w:t xml:space="preserve">имущества и земельных отношений Новосибирской области </w:t>
      </w:r>
      <w:r>
        <w:rPr>
          <w:sz w:val="27"/>
          <w:szCs w:val="27"/>
        </w:rPr>
        <w:t xml:space="preserve">с учетом требований законодательства о приватизации</w:t>
      </w:r>
      <w:r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только после прекращения права оперативного управления на указанное имущество и передачи его в казну Новосибирской области.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firstLine="708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Также прогноз</w:t>
      </w:r>
      <w:r>
        <w:rPr>
          <w:sz w:val="27"/>
          <w:szCs w:val="27"/>
          <w:highlight w:val="none"/>
        </w:rPr>
        <w:t xml:space="preserve">ный план приватизации государственного </w:t>
      </w:r>
      <w:r>
        <w:rPr>
          <w:sz w:val="27"/>
          <w:szCs w:val="27"/>
          <w:highlight w:val="none"/>
        </w:rPr>
        <w:t xml:space="preserve">имущества Новосибирской области дополнен имуществом, которое планируется внести в уставные капиталы акционерных обществ, 100 процентов акций которых находятся в государственной собственности Новосибирской области, в связи с производственной необходимостью: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ind w:left="0"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 xml:space="preserve">1. В акционерное общество «Бердский лесхоз»: з</w:t>
      </w:r>
      <w:r>
        <w:rPr>
          <w:sz w:val="27"/>
          <w:szCs w:val="27"/>
          <w:highlight w:val="none"/>
        </w:rPr>
        <w:t xml:space="preserve">дание, </w:t>
      </w:r>
      <w:r>
        <w:rPr>
          <w:sz w:val="27"/>
          <w:szCs w:val="27"/>
        </w:rPr>
        <w:t xml:space="preserve">кадастровый номер: 54:32:010467:367, площадь 72,2 кв.м. и сооружение, </w:t>
      </w:r>
      <w:r>
        <w:rPr>
          <w:sz w:val="27"/>
          <w:szCs w:val="27"/>
        </w:rPr>
        <w:t xml:space="preserve">кадастровый номер: 54:32:010467:368, площадь 18,1 кв.м, расположенные на земельном участке с кадастровым номером </w:t>
      </w:r>
      <w:r>
        <w:rPr>
          <w:sz w:val="27"/>
          <w:szCs w:val="27"/>
        </w:rPr>
        <w:t xml:space="preserve">54:32:010467:32, площадь 11135 кв.м.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  <w:tab/>
        <w:t xml:space="preserve">2. В акционерное общество «Здвинский лесхоз» - м</w:t>
      </w:r>
      <w:r>
        <w:rPr>
          <w:sz w:val="27"/>
          <w:szCs w:val="27"/>
        </w:rPr>
        <w:t xml:space="preserve">ашина универсальная лесная «Беларус» МУЛ-82.2</w:t>
      </w:r>
      <w:r>
        <w:rPr>
          <w:sz w:val="27"/>
          <w:szCs w:val="27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jc w:val="both"/>
        <w:rPr>
          <w:sz w:val="27"/>
          <w:szCs w:val="27"/>
        </w:rPr>
      </w:pPr>
      <w:r>
        <w:rPr>
          <w:sz w:val="27"/>
          <w:szCs w:val="27"/>
          <w:highlight w:val="none"/>
        </w:rPr>
        <w:tab/>
        <w:t xml:space="preserve">3. В акционерное общество «Северный лесхоз» - м</w:t>
      </w:r>
      <w:r>
        <w:rPr>
          <w:sz w:val="27"/>
          <w:szCs w:val="27"/>
        </w:rPr>
        <w:t xml:space="preserve">ашина универсальная лесная «Беларус» МУЛ-1221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firstLine="720"/>
        <w:jc w:val="both"/>
        <w:rPr>
          <w:b w:val="0"/>
          <w:bCs w:val="0"/>
          <w:i w:val="0"/>
          <w:sz w:val="27"/>
          <w:szCs w:val="27"/>
          <w:highlight w:val="white"/>
        </w:rPr>
      </w:pPr>
      <w:r>
        <w:rPr>
          <w:b w:val="0"/>
          <w:bCs w:val="0"/>
          <w:i w:val="0"/>
          <w:iCs w:val="0"/>
          <w:sz w:val="27"/>
          <w:szCs w:val="27"/>
          <w:highlight w:val="white"/>
        </w:rPr>
        <w:t xml:space="preserve">В связи с продажей из утвержденного прогнозного плана приватизации государственного имущества Новосибирской области на 2026-2028 годы исключено:</w:t>
      </w:r>
      <w:r>
        <w:rPr>
          <w:b w:val="0"/>
          <w:bCs w:val="0"/>
          <w:i w:val="0"/>
          <w:sz w:val="27"/>
          <w:szCs w:val="27"/>
          <w:highlight w:val="white"/>
        </w:rPr>
      </w:r>
      <w:r>
        <w:rPr>
          <w:b w:val="0"/>
          <w:bCs w:val="0"/>
          <w:i w:val="0"/>
          <w:sz w:val="27"/>
          <w:szCs w:val="27"/>
          <w:highlight w:val="white"/>
        </w:rPr>
      </w:r>
    </w:p>
    <w:p>
      <w:pPr>
        <w:ind w:firstLine="720"/>
        <w:jc w:val="both"/>
        <w:rPr>
          <w:sz w:val="27"/>
          <w:szCs w:val="27"/>
          <w:highlight w:val="none"/>
        </w:rPr>
      </w:pPr>
      <w:r>
        <w:rPr>
          <w:sz w:val="27"/>
          <w:szCs w:val="27"/>
          <w:highlight w:val="none"/>
        </w:rPr>
      </w:r>
      <w:r>
        <w:rPr>
          <w:sz w:val="27"/>
          <w:szCs w:val="27"/>
        </w:rPr>
        <w:t xml:space="preserve">помещение, кадастровый номер 54:19:090201:815, площадь 41,6 кв.м, назначение: нежилое помещение, расположенное по адресу: Новосибирская область, Новосибирский район, Кубовинский сельсовет, поселок Красный Яр, дом 34</w:t>
      </w:r>
      <w:r>
        <w:rPr>
          <w:sz w:val="27"/>
          <w:szCs w:val="27"/>
        </w:rPr>
        <w:t xml:space="preserve">.</w:t>
      </w:r>
      <w:r>
        <w:rPr>
          <w:sz w:val="27"/>
          <w:szCs w:val="27"/>
          <w:highlight w:val="none"/>
        </w:rPr>
      </w:r>
      <w:r>
        <w:rPr>
          <w:sz w:val="27"/>
          <w:szCs w:val="27"/>
          <w:highlight w:val="none"/>
        </w:rPr>
      </w:r>
    </w:p>
    <w:p>
      <w:pPr>
        <w:pStyle w:val="936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Сведения об унитарных предприятиях Новосибирской области, долях в уставных капиталах обществ с ограниченной ответственностью, находящихся в государственной собственности Новосибирск</w:t>
      </w:r>
      <w:r>
        <w:rPr>
          <w:sz w:val="27"/>
          <w:szCs w:val="27"/>
        </w:rPr>
        <w:t xml:space="preserve">ой области, об акционерных обществах и обществах с ограниченной ответственностью, акции, доли в уставных капиталах которых подлежат внесению в уставный капитал иных акционерных обществ в соответствии с решением областных исполнительных органов государствен</w:t>
      </w:r>
      <w:r>
        <w:rPr>
          <w:sz w:val="27"/>
          <w:szCs w:val="27"/>
        </w:rPr>
        <w:t xml:space="preserve">ной власти Новосибирской области, осуществляющих права акционера (участника) от имени Новосибирской области в хозяйственных обществах, акции (доли) которых находятся в государственной собственности Новосибирской области в Проекте отсутствуют, так как в 202</w:t>
      </w:r>
      <w:r>
        <w:rPr>
          <w:sz w:val="27"/>
          <w:szCs w:val="27"/>
        </w:rPr>
        <w:t xml:space="preserve">6-202</w:t>
      </w:r>
      <w:r>
        <w:rPr>
          <w:sz w:val="27"/>
          <w:szCs w:val="27"/>
        </w:rPr>
        <w:t xml:space="preserve">8 годах их приватизация не запланирована.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6"/>
        <w:ind w:firstLine="720"/>
        <w:jc w:val="both"/>
        <w:rPr>
          <w:sz w:val="27"/>
          <w:szCs w:val="27"/>
          <w:highlight w:val="white"/>
        </w:rPr>
      </w:pPr>
      <w:r>
        <w:rPr>
          <w:sz w:val="27"/>
          <w:szCs w:val="27"/>
        </w:rPr>
        <w:t xml:space="preserve">Право государственной собственности Новосибирской области на объекты недвижимости и земельные участки, включённые в Проект прогнозного плана, зар</w:t>
      </w:r>
      <w:r>
        <w:rPr>
          <w:sz w:val="27"/>
          <w:szCs w:val="27"/>
          <w:highlight w:val="white"/>
        </w:rPr>
        <w:t xml:space="preserve">егистрировано в установленном законодательством порядке.</w:t>
      </w:r>
      <w:r>
        <w:rPr>
          <w:sz w:val="27"/>
          <w:szCs w:val="27"/>
          <w:highlight w:val="white"/>
        </w:rPr>
      </w:r>
      <w:r>
        <w:rPr>
          <w:sz w:val="27"/>
          <w:szCs w:val="27"/>
          <w:highlight w:val="white"/>
        </w:rPr>
      </w:r>
    </w:p>
    <w:p>
      <w:pPr>
        <w:pStyle w:val="936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Планируемый способ приватизации указанного в Проекте прогнозного плана имущества будет определён в соответствии с </w:t>
      </w:r>
      <w:r>
        <w:rPr>
          <w:sz w:val="27"/>
          <w:szCs w:val="27"/>
        </w:rPr>
        <w:t xml:space="preserve">Законом Новосибирской области от 20.05.2004 № 181-ОЗ «О приватизации государственного имущества Новосибирской области</w:t>
      </w:r>
      <w:r>
        <w:rPr>
          <w:sz w:val="27"/>
          <w:szCs w:val="27"/>
        </w:rPr>
        <w:t xml:space="preserve">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6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соответствии со стат</w:t>
      </w:r>
      <w:r>
        <w:rPr>
          <w:sz w:val="27"/>
          <w:szCs w:val="27"/>
        </w:rPr>
        <w:t xml:space="preserve">ьей 7.1 Закона Новосибирской области от 25.12.2006 № 80-ОЗ «О нормативных правовых актах Новосибирской области», разработанный Проект распоряжения Правительства Новосибирской области не требует проведения оценки регулирующего воздействия, поскольку проект </w:t>
      </w:r>
      <w:r>
        <w:rPr>
          <w:sz w:val="27"/>
          <w:szCs w:val="27"/>
        </w:rPr>
        <w:t xml:space="preserve">распоряжения</w:t>
      </w:r>
      <w:r>
        <w:rPr>
          <w:sz w:val="27"/>
          <w:szCs w:val="27"/>
        </w:rPr>
        <w:t xml:space="preserve"> Правительства Новосибирской области не затрагивает вопросы осуществления предпринимательской и инвестиционной</w:t>
      </w:r>
      <w:r>
        <w:rPr>
          <w:sz w:val="27"/>
          <w:szCs w:val="27"/>
        </w:rPr>
        <w:t xml:space="preserve"> деятельности, не касается установления, изменения или отмены ранее установленной ответственности за нарушение нормативных правовых актов субъектов Российской Федерации, затрагивающих вопросы осуществления предпринимательской и инвестиционной деятельности.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jc w:val="both"/>
        <w:tabs>
          <w:tab w:val="center" w:pos="9072" w:leader="none"/>
        </w:tabs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6"/>
        <w:jc w:val="both"/>
        <w:tabs>
          <w:tab w:val="center" w:pos="9072" w:leader="none"/>
        </w:tabs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6"/>
        <w:jc w:val="both"/>
        <w:tabs>
          <w:tab w:val="center" w:pos="9072" w:leader="none"/>
        </w:tabs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pStyle w:val="936"/>
        <w:jc w:val="both"/>
        <w:tabs>
          <w:tab w:val="center" w:pos="9072" w:leader="none"/>
        </w:tabs>
        <w:rPr>
          <w:sz w:val="27"/>
          <w:szCs w:val="27"/>
        </w:rPr>
      </w:pPr>
      <w:r>
        <w:rPr>
          <w:sz w:val="27"/>
          <w:szCs w:val="27"/>
        </w:rPr>
        <w:t xml:space="preserve">Руководитель департамента                                                             Р.Г. Шилохвостов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jc w:val="center"/>
        <w:tabs>
          <w:tab w:val="center" w:pos="9072" w:leader="none"/>
        </w:tabs>
        <w:rPr>
          <w:color w:val="f2f2f2" w:themeColor="background1" w:themeShade="F2"/>
        </w:rPr>
      </w:pPr>
      <w:r>
        <w:rPr>
          <w:color w:val="f2f2f2" w:themeColor="background1" w:themeShade="F2"/>
        </w:rPr>
        <w:t xml:space="preserve">         </w:t>
      </w:r>
      <w:r>
        <w:rPr>
          <w:color w:val="f2f2f2" w:themeColor="background1" w:themeShade="F2"/>
          <w:sz w:val="28"/>
          <w:szCs w:val="28"/>
          <w:highlight w:val="white"/>
        </w:rPr>
        <w:t xml:space="preserve"> </w:t>
      </w:r>
      <w:r>
        <w:rPr>
          <w:color w:val="f2f2f2" w:themeColor="background1" w:themeShade="F2"/>
          <w:sz w:val="28"/>
          <w:szCs w:val="28"/>
          <w:highlight w:val="white"/>
        </w:rPr>
        <w:t xml:space="preserve">[МЕСТО ДЛЯ ПОДПИСИ]</w:t>
      </w:r>
      <w:r>
        <w:rPr>
          <w:color w:val="f2f2f2" w:themeColor="background1" w:themeShade="F2"/>
        </w:rPr>
      </w:r>
      <w:r>
        <w:rPr>
          <w:color w:val="f2f2f2" w:themeColor="background1" w:themeShade="F2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pStyle w:val="936"/>
        <w:jc w:val="both"/>
        <w:tabs>
          <w:tab w:val="center" w:pos="9072" w:leader="none"/>
        </w:tabs>
        <w:rPr>
          <w:sz w:val="18"/>
          <w:szCs w:val="18"/>
          <w:highlight w:val="none"/>
        </w:rPr>
      </w:pPr>
      <w:r>
        <w:rPr>
          <w:sz w:val="18"/>
          <w:szCs w:val="18"/>
        </w:rPr>
        <w:t xml:space="preserve">Бородина Ася Александровна</w:t>
      </w:r>
      <w:r>
        <w:rPr>
          <w:sz w:val="18"/>
          <w:szCs w:val="18"/>
          <w:highlight w:val="none"/>
        </w:rPr>
      </w:r>
      <w:r>
        <w:rPr>
          <w:sz w:val="18"/>
          <w:szCs w:val="18"/>
          <w:highlight w:val="none"/>
        </w:rPr>
      </w:r>
    </w:p>
    <w:p>
      <w:pPr>
        <w:jc w:val="both"/>
        <w:tabs>
          <w:tab w:val="center" w:pos="9072" w:leader="none"/>
        </w:tabs>
        <w:rPr>
          <w:sz w:val="18"/>
          <w:szCs w:val="18"/>
        </w:rPr>
      </w:pPr>
      <w:r>
        <w:rPr>
          <w:sz w:val="18"/>
          <w:szCs w:val="18"/>
          <w:highlight w:val="none"/>
        </w:rPr>
        <w:t xml:space="preserve">238-60-52</w:t>
      </w:r>
      <w:r>
        <w:rPr>
          <w:sz w:val="18"/>
          <w:szCs w:val="18"/>
        </w:rPr>
      </w:r>
      <w:r>
        <w:rPr>
          <w:sz w:val="18"/>
          <w:szCs w:val="18"/>
        </w:rPr>
      </w:r>
    </w:p>
    <w:sectPr>
      <w:headerReference w:type="first" r:id="rId9"/>
      <w:footnotePr/>
      <w:endnotePr/>
      <w:type w:val="nextPage"/>
      <w:pgSz w:w="11907" w:h="16840" w:orient="portrait"/>
      <w:pgMar w:top="-1134" w:right="567" w:bottom="993" w:left="1418" w:header="709" w:footer="567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6"/>
      <w:jc w:val="center"/>
    </w:pPr>
    <w:r>
      <mc:AlternateContent>
        <mc:Choice Requires="wpg">
          <w:drawing>
            <wp:inline xmlns:wp="http://schemas.openxmlformats.org/drawingml/2006/wordprocessingDrawing" distT="0" distB="0" distL="0" distR="0">
              <wp:extent cx="546219" cy="647558"/>
              <wp:effectExtent l="0" t="0" r="0" b="0"/>
              <wp:docPr id="1" name="_x0000_i1026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/>
                      <pic:cNvPicPr/>
                      <pic:nv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/>
                    </pic:blipFill>
                    <pic:spPr bwMode="auto">
                      <a:xfrm>
                        <a:off x="0" y="0"/>
                        <a:ext cx="546219" cy="64755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>
          <w:pict>
            <v:shapetype type="#_x0000_t75" o:spt="75" coordsize="21600,21600" o:preferrelative="t" path="m@4@5l@4@11@9@11@9@5xe"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</v:shapetype>
            <v:shape id="_x0000_i0" o:spid="_x0000_s0" type="#_x0000_t75" style="width:43.01pt;height:50.99pt;mso-wrap-distance-left:0.00pt;mso-wrap-distance-top:0.00pt;mso-wrap-distance-right:0.00pt;mso-wrap-distance-bottom:0.00pt;" stroked="f">
              <v:path textboxrect="0,0,0,0"/>
              <v:imagedata r:id="rId1" o:title=""/>
            </v:shape>
          </w:pict>
        </mc:Fallback>
      </mc:AlternateContent>
    </w:r>
    <w:r/>
  </w:p>
  <w:p>
    <w:pPr>
      <w:pStyle w:val="936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  <w:p>
    <w:pPr>
      <w:pStyle w:val="952"/>
    </w:pPr>
    <w:r>
      <w:t xml:space="preserve">ДЕПАРТАМЕНТ ИМУЩЕСТВА</w:t>
    </w:r>
    <w:r/>
  </w:p>
  <w:p>
    <w:pPr>
      <w:pStyle w:val="950"/>
      <w:rPr>
        <w:sz w:val="28"/>
        <w:szCs w:val="28"/>
      </w:rPr>
    </w:pPr>
    <w:r>
      <w:rPr>
        <w:sz w:val="28"/>
        <w:szCs w:val="28"/>
      </w:rPr>
      <w:t xml:space="preserve"> И ЗЕМЕЛЬНЫХ ОТНОШЕНИЙ</w:t>
    </w:r>
    <w:r>
      <w:t xml:space="preserve"> </w:t>
    </w:r>
    <w:r>
      <w:rPr>
        <w:sz w:val="28"/>
        <w:szCs w:val="28"/>
      </w:rPr>
      <w:t xml:space="preserve">НОВОСИБИРСКОЙ ОБЛАСТИ</w:t>
    </w: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<wp:simplePos x="0" y="0"/>
              <wp:positionH relativeFrom="column">
                <wp:posOffset>4631690</wp:posOffset>
              </wp:positionH>
              <wp:positionV relativeFrom="paragraph">
                <wp:posOffset>152400</wp:posOffset>
              </wp:positionV>
              <wp:extent cx="1371600" cy="228600"/>
              <wp:effectExtent l="0" t="0" r="0" b="0"/>
              <wp:wrapNone/>
              <wp:docPr id="2" name="_x0000_s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371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36"/>
                            <w:jc w:val="center"/>
                          </w:pPr>
                          <w:r/>
                          <w:bookmarkStart w:id="0" w:name="docout_numb"/>
                          <w:r/>
                          <w:bookmarkEnd w:id="0"/>
                          <w:r/>
                          <w:r/>
                        </w:p>
                        <w:p>
                          <w:pPr>
                            <w:pStyle w:val="936"/>
                          </w:pPr>
                          <w:r/>
                          <w:r/>
                        </w:p>
                      </w:txbxContent>
                    </wps:txbx>
                    <wps:bodyPr wrap="square" lIns="18000" tIns="10800" rIns="18000" bIns="10800" upright="1"/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251658241;o:allowoverlap:true;o:allowincell:true;mso-position-horizontal-relative:text;margin-left:364.70pt;mso-position-horizontal:absolute;mso-position-vertical-relative:text;margin-top:12.00pt;mso-position-vertical:absolute;width:108.00pt;height:18.0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936"/>
                      <w:jc w:val="center"/>
                    </w:pPr>
                    <w:r/>
                    <w:bookmarkStart w:id="0" w:name="docout_numb"/>
                    <w:r/>
                    <w:bookmarkEnd w:id="0"/>
                    <w:r/>
                    <w:r/>
                  </w:p>
                  <w:p>
                    <w:pPr>
                      <w:pStyle w:val="936"/>
                    </w:pPr>
                    <w:r/>
                    <w:r/>
                  </w:p>
                </w:txbxContent>
              </v:textbox>
            </v:shape>
          </w:pict>
        </mc:Fallback>
      </mc:AlternateContent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<wp:simplePos x="0" y="0"/>
              <wp:positionH relativeFrom="column">
                <wp:posOffset>34925</wp:posOffset>
              </wp:positionH>
              <wp:positionV relativeFrom="paragraph">
                <wp:posOffset>152400</wp:posOffset>
              </wp:positionV>
              <wp:extent cx="1600200" cy="228600"/>
              <wp:effectExtent l="0" t="0" r="0" b="0"/>
              <wp:wrapNone/>
              <wp:docPr id="3" name="_x0000_s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02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936"/>
                            <w:jc w:val="center"/>
                          </w:pPr>
                          <w:r/>
                          <w:r/>
                        </w:p>
                        <w:p>
                          <w:pPr>
                            <w:pStyle w:val="936"/>
                          </w:pPr>
                          <w:r/>
                          <w:r/>
                        </w:p>
                      </w:txbxContent>
                    </wps:txbx>
                    <wps:bodyPr wrap="square" lIns="18000" tIns="10800" rIns="18000" bIns="10800" upright="1"/>
                  </wps:wsp>
                </a:graphicData>
              </a:graphic>
            </wp:anchor>
          </w:drawing>
        </mc:Choice>
        <mc:Fallback>
          <w:pict>
            <v:shape id="shape 2" o:spid="_x0000_s2" o:spt="202" type="#_x0000_t202" style="position:absolute;z-index:524288;o:allowoverlap:true;o:allowincell:true;mso-position-horizontal-relative:text;margin-left:2.75pt;mso-position-horizontal:absolute;mso-position-vertical-relative:text;margin-top:12.00pt;mso-position-vertical:absolute;width:126.00pt;height:18.00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pStyle w:val="936"/>
                      <w:jc w:val="center"/>
                    </w:pPr>
                    <w:r/>
                    <w:r/>
                  </w:p>
                  <w:p>
                    <w:pPr>
                      <w:pStyle w:val="936"/>
                    </w:pPr>
                    <w:r/>
                    <w:r/>
                  </w:p>
                </w:txbxContent>
              </v:textbox>
            </v:shape>
          </w:pict>
        </mc:Fallback>
      </mc:AlternateContent>
    </w:r>
    <w:r>
      <w:rPr>
        <w:sz w:val="28"/>
        <w:szCs w:val="28"/>
      </w:rPr>
    </w:r>
    <w:r>
      <w:rPr>
        <w:sz w:val="28"/>
        <w:szCs w:val="28"/>
      </w:rPr>
    </w:r>
  </w:p>
  <w:p>
    <w:pPr>
      <w:pStyle w:val="94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8">
    <w:name w:val="Heading 1"/>
    <w:basedOn w:val="936"/>
    <w:next w:val="936"/>
    <w:link w:val="7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59">
    <w:name w:val="Heading 1 Char"/>
    <w:link w:val="758"/>
    <w:uiPriority w:val="9"/>
    <w:rPr>
      <w:rFonts w:ascii="Arial" w:hAnsi="Arial" w:eastAsia="Arial" w:cs="Arial"/>
      <w:sz w:val="40"/>
      <w:szCs w:val="40"/>
    </w:rPr>
  </w:style>
  <w:style w:type="paragraph" w:styleId="760">
    <w:name w:val="Heading 2"/>
    <w:basedOn w:val="936"/>
    <w:next w:val="936"/>
    <w:link w:val="7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61">
    <w:name w:val="Heading 2 Char"/>
    <w:link w:val="760"/>
    <w:uiPriority w:val="9"/>
    <w:rPr>
      <w:rFonts w:ascii="Arial" w:hAnsi="Arial" w:eastAsia="Arial" w:cs="Arial"/>
      <w:sz w:val="34"/>
    </w:rPr>
  </w:style>
  <w:style w:type="paragraph" w:styleId="762">
    <w:name w:val="Heading 3"/>
    <w:basedOn w:val="936"/>
    <w:next w:val="936"/>
    <w:link w:val="7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3">
    <w:name w:val="Heading 3 Char"/>
    <w:link w:val="762"/>
    <w:uiPriority w:val="9"/>
    <w:rPr>
      <w:rFonts w:ascii="Arial" w:hAnsi="Arial" w:eastAsia="Arial" w:cs="Arial"/>
      <w:sz w:val="30"/>
      <w:szCs w:val="30"/>
    </w:rPr>
  </w:style>
  <w:style w:type="paragraph" w:styleId="764">
    <w:name w:val="Heading 4"/>
    <w:basedOn w:val="936"/>
    <w:next w:val="936"/>
    <w:link w:val="7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5">
    <w:name w:val="Heading 4 Char"/>
    <w:link w:val="764"/>
    <w:uiPriority w:val="9"/>
    <w:rPr>
      <w:rFonts w:ascii="Arial" w:hAnsi="Arial" w:eastAsia="Arial" w:cs="Arial"/>
      <w:b/>
      <w:bCs/>
      <w:sz w:val="26"/>
      <w:szCs w:val="26"/>
    </w:rPr>
  </w:style>
  <w:style w:type="paragraph" w:styleId="766">
    <w:name w:val="Heading 5"/>
    <w:basedOn w:val="936"/>
    <w:next w:val="936"/>
    <w:link w:val="7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7">
    <w:name w:val="Heading 5 Char"/>
    <w:link w:val="766"/>
    <w:uiPriority w:val="9"/>
    <w:rPr>
      <w:rFonts w:ascii="Arial" w:hAnsi="Arial" w:eastAsia="Arial" w:cs="Arial"/>
      <w:b/>
      <w:bCs/>
      <w:sz w:val="24"/>
      <w:szCs w:val="24"/>
    </w:rPr>
  </w:style>
  <w:style w:type="paragraph" w:styleId="768">
    <w:name w:val="Heading 6"/>
    <w:basedOn w:val="936"/>
    <w:next w:val="936"/>
    <w:link w:val="7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9">
    <w:name w:val="Heading 6 Char"/>
    <w:link w:val="768"/>
    <w:uiPriority w:val="9"/>
    <w:rPr>
      <w:rFonts w:ascii="Arial" w:hAnsi="Arial" w:eastAsia="Arial" w:cs="Arial"/>
      <w:b/>
      <w:bCs/>
      <w:sz w:val="22"/>
      <w:szCs w:val="22"/>
    </w:rPr>
  </w:style>
  <w:style w:type="paragraph" w:styleId="770">
    <w:name w:val="Heading 7"/>
    <w:basedOn w:val="936"/>
    <w:next w:val="936"/>
    <w:link w:val="7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1">
    <w:name w:val="Heading 7 Char"/>
    <w:link w:val="7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2">
    <w:name w:val="Heading 8"/>
    <w:basedOn w:val="936"/>
    <w:next w:val="936"/>
    <w:link w:val="7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3">
    <w:name w:val="Heading 8 Char"/>
    <w:link w:val="772"/>
    <w:uiPriority w:val="9"/>
    <w:rPr>
      <w:rFonts w:ascii="Arial" w:hAnsi="Arial" w:eastAsia="Arial" w:cs="Arial"/>
      <w:i/>
      <w:iCs/>
      <w:sz w:val="22"/>
      <w:szCs w:val="22"/>
    </w:rPr>
  </w:style>
  <w:style w:type="paragraph" w:styleId="774">
    <w:name w:val="Heading 9"/>
    <w:basedOn w:val="936"/>
    <w:next w:val="936"/>
    <w:link w:val="7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5">
    <w:name w:val="Heading 9 Char"/>
    <w:link w:val="774"/>
    <w:uiPriority w:val="9"/>
    <w:rPr>
      <w:rFonts w:ascii="Arial" w:hAnsi="Arial" w:eastAsia="Arial" w:cs="Arial"/>
      <w:i/>
      <w:iCs/>
      <w:sz w:val="21"/>
      <w:szCs w:val="21"/>
    </w:rPr>
  </w:style>
  <w:style w:type="paragraph" w:styleId="776">
    <w:name w:val="List Paragraph"/>
    <w:basedOn w:val="936"/>
    <w:uiPriority w:val="34"/>
    <w:qFormat/>
    <w:pPr>
      <w:contextualSpacing/>
      <w:ind w:left="720"/>
    </w:pPr>
  </w:style>
  <w:style w:type="paragraph" w:styleId="777">
    <w:name w:val="No Spacing"/>
    <w:uiPriority w:val="1"/>
    <w:qFormat/>
    <w:pPr>
      <w:spacing w:before="0" w:after="0" w:line="240" w:lineRule="auto"/>
    </w:pPr>
  </w:style>
  <w:style w:type="paragraph" w:styleId="778">
    <w:name w:val="Title"/>
    <w:basedOn w:val="936"/>
    <w:next w:val="936"/>
    <w:link w:val="7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9">
    <w:name w:val="Title Char"/>
    <w:link w:val="778"/>
    <w:uiPriority w:val="10"/>
    <w:rPr>
      <w:sz w:val="48"/>
      <w:szCs w:val="48"/>
    </w:rPr>
  </w:style>
  <w:style w:type="paragraph" w:styleId="780">
    <w:name w:val="Subtitle"/>
    <w:basedOn w:val="936"/>
    <w:next w:val="936"/>
    <w:link w:val="781"/>
    <w:uiPriority w:val="11"/>
    <w:qFormat/>
    <w:pPr>
      <w:spacing w:before="200" w:after="200"/>
    </w:pPr>
    <w:rPr>
      <w:sz w:val="24"/>
      <w:szCs w:val="24"/>
    </w:rPr>
  </w:style>
  <w:style w:type="character" w:styleId="781">
    <w:name w:val="Subtitle Char"/>
    <w:link w:val="780"/>
    <w:uiPriority w:val="11"/>
    <w:rPr>
      <w:sz w:val="24"/>
      <w:szCs w:val="24"/>
    </w:rPr>
  </w:style>
  <w:style w:type="paragraph" w:styleId="782">
    <w:name w:val="Quote"/>
    <w:basedOn w:val="936"/>
    <w:next w:val="936"/>
    <w:link w:val="783"/>
    <w:uiPriority w:val="29"/>
    <w:qFormat/>
    <w:pPr>
      <w:ind w:left="720" w:right="720"/>
    </w:pPr>
    <w:rPr>
      <w:i/>
    </w:rPr>
  </w:style>
  <w:style w:type="character" w:styleId="783">
    <w:name w:val="Quote Char"/>
    <w:link w:val="782"/>
    <w:uiPriority w:val="29"/>
    <w:rPr>
      <w:i/>
    </w:rPr>
  </w:style>
  <w:style w:type="paragraph" w:styleId="784">
    <w:name w:val="Intense Quote"/>
    <w:basedOn w:val="936"/>
    <w:next w:val="936"/>
    <w:link w:val="78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5">
    <w:name w:val="Intense Quote Char"/>
    <w:link w:val="784"/>
    <w:uiPriority w:val="30"/>
    <w:rPr>
      <w:i/>
    </w:rPr>
  </w:style>
  <w:style w:type="paragraph" w:styleId="786">
    <w:name w:val="Header"/>
    <w:basedOn w:val="936"/>
    <w:link w:val="7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7">
    <w:name w:val="Header Char"/>
    <w:link w:val="786"/>
    <w:uiPriority w:val="99"/>
  </w:style>
  <w:style w:type="paragraph" w:styleId="788">
    <w:name w:val="Footer"/>
    <w:basedOn w:val="936"/>
    <w:link w:val="79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89">
    <w:name w:val="Footer Char"/>
    <w:link w:val="788"/>
    <w:uiPriority w:val="99"/>
  </w:style>
  <w:style w:type="paragraph" w:styleId="790">
    <w:name w:val="Caption"/>
    <w:basedOn w:val="936"/>
    <w:next w:val="936"/>
    <w:link w:val="79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1">
    <w:name w:val="Caption Char"/>
    <w:basedOn w:val="790"/>
    <w:link w:val="788"/>
    <w:uiPriority w:val="99"/>
  </w:style>
  <w:style w:type="table" w:styleId="792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6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7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9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1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2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3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4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5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6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7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8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30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1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3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4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5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6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7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8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9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1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6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7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8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9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60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1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2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3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4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5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6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7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8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9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90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1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2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3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4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5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6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7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8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9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0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1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2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3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4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5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6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7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8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9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10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1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2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3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4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5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6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7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8">
    <w:name w:val="Hyperlink"/>
    <w:uiPriority w:val="99"/>
    <w:unhideWhenUsed/>
    <w:rPr>
      <w:color w:val="0000ff" w:themeColor="hyperlink"/>
      <w:u w:val="single"/>
    </w:rPr>
  </w:style>
  <w:style w:type="paragraph" w:styleId="919">
    <w:name w:val="footnote text"/>
    <w:basedOn w:val="936"/>
    <w:link w:val="920"/>
    <w:uiPriority w:val="99"/>
    <w:semiHidden/>
    <w:unhideWhenUsed/>
    <w:pPr>
      <w:spacing w:after="40" w:line="240" w:lineRule="auto"/>
    </w:pPr>
    <w:rPr>
      <w:sz w:val="18"/>
    </w:rPr>
  </w:style>
  <w:style w:type="character" w:styleId="920">
    <w:name w:val="Footnote Text Char"/>
    <w:link w:val="919"/>
    <w:uiPriority w:val="99"/>
    <w:rPr>
      <w:sz w:val="18"/>
    </w:rPr>
  </w:style>
  <w:style w:type="character" w:styleId="921">
    <w:name w:val="footnote reference"/>
    <w:uiPriority w:val="99"/>
    <w:unhideWhenUsed/>
    <w:rPr>
      <w:vertAlign w:val="superscript"/>
    </w:rPr>
  </w:style>
  <w:style w:type="paragraph" w:styleId="922">
    <w:name w:val="endnote text"/>
    <w:basedOn w:val="936"/>
    <w:link w:val="923"/>
    <w:uiPriority w:val="99"/>
    <w:semiHidden/>
    <w:unhideWhenUsed/>
    <w:pPr>
      <w:spacing w:after="0" w:line="240" w:lineRule="auto"/>
    </w:pPr>
    <w:rPr>
      <w:sz w:val="20"/>
    </w:rPr>
  </w:style>
  <w:style w:type="character" w:styleId="923">
    <w:name w:val="Endnote Text Char"/>
    <w:link w:val="922"/>
    <w:uiPriority w:val="99"/>
    <w:rPr>
      <w:sz w:val="20"/>
    </w:rPr>
  </w:style>
  <w:style w:type="character" w:styleId="924">
    <w:name w:val="endnote reference"/>
    <w:uiPriority w:val="99"/>
    <w:semiHidden/>
    <w:unhideWhenUsed/>
    <w:rPr>
      <w:vertAlign w:val="superscript"/>
    </w:rPr>
  </w:style>
  <w:style w:type="paragraph" w:styleId="925">
    <w:name w:val="toc 1"/>
    <w:basedOn w:val="936"/>
    <w:next w:val="936"/>
    <w:uiPriority w:val="39"/>
    <w:unhideWhenUsed/>
    <w:pPr>
      <w:ind w:left="0" w:right="0" w:firstLine="0"/>
      <w:spacing w:after="57"/>
    </w:pPr>
  </w:style>
  <w:style w:type="paragraph" w:styleId="926">
    <w:name w:val="toc 2"/>
    <w:basedOn w:val="936"/>
    <w:next w:val="936"/>
    <w:uiPriority w:val="39"/>
    <w:unhideWhenUsed/>
    <w:pPr>
      <w:ind w:left="283" w:right="0" w:firstLine="0"/>
      <w:spacing w:after="57"/>
    </w:pPr>
  </w:style>
  <w:style w:type="paragraph" w:styleId="927">
    <w:name w:val="toc 3"/>
    <w:basedOn w:val="936"/>
    <w:next w:val="936"/>
    <w:uiPriority w:val="39"/>
    <w:unhideWhenUsed/>
    <w:pPr>
      <w:ind w:left="567" w:right="0" w:firstLine="0"/>
      <w:spacing w:after="57"/>
    </w:pPr>
  </w:style>
  <w:style w:type="paragraph" w:styleId="928">
    <w:name w:val="toc 4"/>
    <w:basedOn w:val="936"/>
    <w:next w:val="936"/>
    <w:uiPriority w:val="39"/>
    <w:unhideWhenUsed/>
    <w:pPr>
      <w:ind w:left="850" w:right="0" w:firstLine="0"/>
      <w:spacing w:after="57"/>
    </w:pPr>
  </w:style>
  <w:style w:type="paragraph" w:styleId="929">
    <w:name w:val="toc 5"/>
    <w:basedOn w:val="936"/>
    <w:next w:val="936"/>
    <w:uiPriority w:val="39"/>
    <w:unhideWhenUsed/>
    <w:pPr>
      <w:ind w:left="1134" w:right="0" w:firstLine="0"/>
      <w:spacing w:after="57"/>
    </w:pPr>
  </w:style>
  <w:style w:type="paragraph" w:styleId="930">
    <w:name w:val="toc 6"/>
    <w:basedOn w:val="936"/>
    <w:next w:val="936"/>
    <w:uiPriority w:val="39"/>
    <w:unhideWhenUsed/>
    <w:pPr>
      <w:ind w:left="1417" w:right="0" w:firstLine="0"/>
      <w:spacing w:after="57"/>
    </w:pPr>
  </w:style>
  <w:style w:type="paragraph" w:styleId="931">
    <w:name w:val="toc 7"/>
    <w:basedOn w:val="936"/>
    <w:next w:val="936"/>
    <w:uiPriority w:val="39"/>
    <w:unhideWhenUsed/>
    <w:pPr>
      <w:ind w:left="1701" w:right="0" w:firstLine="0"/>
      <w:spacing w:after="57"/>
    </w:pPr>
  </w:style>
  <w:style w:type="paragraph" w:styleId="932">
    <w:name w:val="toc 8"/>
    <w:basedOn w:val="936"/>
    <w:next w:val="936"/>
    <w:uiPriority w:val="39"/>
    <w:unhideWhenUsed/>
    <w:pPr>
      <w:ind w:left="1984" w:right="0" w:firstLine="0"/>
      <w:spacing w:after="57"/>
    </w:pPr>
  </w:style>
  <w:style w:type="paragraph" w:styleId="933">
    <w:name w:val="toc 9"/>
    <w:basedOn w:val="936"/>
    <w:next w:val="936"/>
    <w:uiPriority w:val="39"/>
    <w:unhideWhenUsed/>
    <w:pPr>
      <w:ind w:left="2268" w:right="0" w:firstLine="0"/>
      <w:spacing w:after="57"/>
    </w:pPr>
  </w:style>
  <w:style w:type="paragraph" w:styleId="934">
    <w:name w:val="TOC Heading"/>
    <w:uiPriority w:val="39"/>
    <w:unhideWhenUsed/>
  </w:style>
  <w:style w:type="paragraph" w:styleId="935">
    <w:name w:val="table of figures"/>
    <w:basedOn w:val="936"/>
    <w:next w:val="936"/>
    <w:uiPriority w:val="99"/>
    <w:unhideWhenUsed/>
    <w:pPr>
      <w:spacing w:after="0" w:afterAutospacing="0"/>
    </w:pPr>
  </w:style>
  <w:style w:type="paragraph" w:styleId="936" w:default="1">
    <w:name w:val="Normal"/>
    <w:next w:val="936"/>
    <w:link w:val="936"/>
    <w:qFormat/>
    <w:rPr>
      <w:sz w:val="28"/>
      <w:szCs w:val="28"/>
      <w:lang w:val="ru-RU" w:eastAsia="ru-RU" w:bidi="ar-SA"/>
    </w:rPr>
  </w:style>
  <w:style w:type="character" w:styleId="937">
    <w:name w:val="Основной шрифт абзаца"/>
    <w:next w:val="937"/>
    <w:link w:val="936"/>
    <w:semiHidden/>
  </w:style>
  <w:style w:type="table" w:styleId="938">
    <w:name w:val="Обычная таблица"/>
    <w:next w:val="938"/>
    <w:link w:val="936"/>
    <w:semiHidden/>
    <w:tblPr/>
  </w:style>
  <w:style w:type="numbering" w:styleId="939">
    <w:name w:val="Нет списка"/>
    <w:next w:val="939"/>
    <w:link w:val="936"/>
    <w:semiHidden/>
  </w:style>
  <w:style w:type="paragraph" w:styleId="940">
    <w:name w:val="заголовок 4"/>
    <w:basedOn w:val="936"/>
    <w:next w:val="936"/>
    <w:link w:val="936"/>
    <w:pPr>
      <w:jc w:val="center"/>
      <w:keepNext/>
    </w:pPr>
    <w:rPr>
      <w:b/>
      <w:bCs/>
    </w:rPr>
  </w:style>
  <w:style w:type="paragraph" w:styleId="941">
    <w:name w:val="заголовок 5"/>
    <w:basedOn w:val="936"/>
    <w:next w:val="936"/>
    <w:link w:val="936"/>
    <w:pPr>
      <w:jc w:val="center"/>
      <w:keepNext/>
    </w:pPr>
    <w:rPr>
      <w:sz w:val="24"/>
      <w:szCs w:val="24"/>
    </w:rPr>
  </w:style>
  <w:style w:type="paragraph" w:styleId="942">
    <w:name w:val="заголовок 6"/>
    <w:basedOn w:val="936"/>
    <w:next w:val="936"/>
    <w:link w:val="936"/>
    <w:pPr>
      <w:jc w:val="center"/>
      <w:keepNext/>
    </w:pPr>
  </w:style>
  <w:style w:type="character" w:styleId="943">
    <w:name w:val="Основной шрифт"/>
    <w:next w:val="943"/>
    <w:link w:val="936"/>
  </w:style>
  <w:style w:type="paragraph" w:styleId="944">
    <w:name w:val="Верхний колонтитул"/>
    <w:basedOn w:val="936"/>
    <w:next w:val="944"/>
    <w:link w:val="936"/>
    <w:pPr>
      <w:tabs>
        <w:tab w:val="center" w:pos="4153" w:leader="none"/>
        <w:tab w:val="right" w:pos="8306" w:leader="none"/>
      </w:tabs>
    </w:pPr>
  </w:style>
  <w:style w:type="paragraph" w:styleId="945">
    <w:name w:val="Письмо главы"/>
    <w:basedOn w:val="936"/>
    <w:next w:val="945"/>
    <w:link w:val="936"/>
    <w:pPr>
      <w:ind w:firstLine="709"/>
      <w:jc w:val="both"/>
    </w:pPr>
  </w:style>
  <w:style w:type="paragraph" w:styleId="946">
    <w:name w:val="Нижний колонтитул"/>
    <w:basedOn w:val="936"/>
    <w:next w:val="946"/>
    <w:link w:val="958"/>
    <w:pPr>
      <w:tabs>
        <w:tab w:val="center" w:pos="4153" w:leader="none"/>
        <w:tab w:val="right" w:pos="8306" w:leader="none"/>
      </w:tabs>
    </w:pPr>
  </w:style>
  <w:style w:type="character" w:styleId="947">
    <w:name w:val="номер страницы"/>
    <w:basedOn w:val="943"/>
    <w:next w:val="947"/>
    <w:link w:val="936"/>
  </w:style>
  <w:style w:type="paragraph" w:styleId="948">
    <w:name w:val="Основной текст"/>
    <w:basedOn w:val="936"/>
    <w:next w:val="948"/>
    <w:link w:val="936"/>
    <w:pPr>
      <w:jc w:val="both"/>
    </w:pPr>
    <w:rPr>
      <w:sz w:val="24"/>
      <w:szCs w:val="24"/>
    </w:rPr>
  </w:style>
  <w:style w:type="character" w:styleId="949">
    <w:name w:val="Гиперссылка"/>
    <w:next w:val="949"/>
    <w:link w:val="936"/>
    <w:rPr>
      <w:color w:val="0000ff"/>
      <w:u w:val="single"/>
    </w:rPr>
  </w:style>
  <w:style w:type="paragraph" w:styleId="950">
    <w:name w:val="Основной текст с отступом"/>
    <w:basedOn w:val="936"/>
    <w:next w:val="950"/>
    <w:link w:val="936"/>
    <w:pPr>
      <w:jc w:val="center"/>
    </w:pPr>
    <w:rPr>
      <w:b/>
      <w:bCs/>
      <w:sz w:val="26"/>
      <w:szCs w:val="26"/>
    </w:rPr>
  </w:style>
  <w:style w:type="paragraph" w:styleId="951">
    <w:name w:val="Основной текст с отступом 2"/>
    <w:basedOn w:val="936"/>
    <w:next w:val="951"/>
    <w:link w:val="936"/>
    <w:pPr>
      <w:ind w:left="360"/>
      <w:jc w:val="both"/>
    </w:pPr>
  </w:style>
  <w:style w:type="paragraph" w:styleId="952">
    <w:name w:val="Основной текст 3"/>
    <w:basedOn w:val="936"/>
    <w:next w:val="952"/>
    <w:link w:val="936"/>
    <w:pPr>
      <w:jc w:val="center"/>
    </w:pPr>
    <w:rPr>
      <w:b/>
      <w:bCs/>
    </w:rPr>
  </w:style>
  <w:style w:type="paragraph" w:styleId="953">
    <w:name w:val="Основной текст с отступом 3"/>
    <w:basedOn w:val="936"/>
    <w:next w:val="953"/>
    <w:link w:val="936"/>
    <w:pPr>
      <w:ind w:left="-142" w:firstLine="851"/>
      <w:jc w:val="both"/>
    </w:pPr>
  </w:style>
  <w:style w:type="character" w:styleId="954">
    <w:name w:val="Просмотренная гиперссылка"/>
    <w:next w:val="954"/>
    <w:link w:val="936"/>
    <w:rPr>
      <w:color w:val="800080"/>
      <w:u w:val="single"/>
    </w:rPr>
  </w:style>
  <w:style w:type="paragraph" w:styleId="955">
    <w:name w:val="Обычный (веб)"/>
    <w:basedOn w:val="936"/>
    <w:next w:val="955"/>
    <w:link w:val="936"/>
    <w:pPr>
      <w:spacing w:before="100" w:beforeAutospacing="1" w:after="100" w:afterAutospacing="1"/>
    </w:pPr>
    <w:rPr>
      <w:sz w:val="24"/>
      <w:szCs w:val="24"/>
    </w:rPr>
  </w:style>
  <w:style w:type="paragraph" w:styleId="956">
    <w:name w:val="Текст выноски"/>
    <w:basedOn w:val="936"/>
    <w:next w:val="956"/>
    <w:link w:val="957"/>
    <w:rPr>
      <w:rFonts w:ascii="Tahoma" w:hAnsi="Tahoma" w:cs="Tahoma"/>
      <w:sz w:val="16"/>
      <w:szCs w:val="16"/>
    </w:rPr>
  </w:style>
  <w:style w:type="character" w:styleId="957">
    <w:name w:val="Текст выноски Знак"/>
    <w:next w:val="957"/>
    <w:link w:val="956"/>
    <w:rPr>
      <w:rFonts w:ascii="Tahoma" w:hAnsi="Tahoma" w:cs="Tahoma"/>
      <w:sz w:val="16"/>
      <w:szCs w:val="16"/>
    </w:rPr>
  </w:style>
  <w:style w:type="character" w:styleId="958">
    <w:name w:val="Нижний колонтитул Знак"/>
    <w:next w:val="958"/>
    <w:link w:val="946"/>
    <w:rPr>
      <w:sz w:val="28"/>
      <w:szCs w:val="28"/>
    </w:rPr>
  </w:style>
  <w:style w:type="paragraph" w:styleId="959">
    <w:name w:val="Знак"/>
    <w:basedOn w:val="936"/>
    <w:next w:val="959"/>
    <w:link w:val="9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960" w:default="1">
    <w:name w:val="Default Paragraph Font"/>
    <w:uiPriority w:val="1"/>
    <w:semiHidden/>
    <w:unhideWhenUsed/>
  </w:style>
  <w:style w:type="numbering" w:styleId="961" w:default="1">
    <w:name w:val="No List"/>
    <w:uiPriority w:val="99"/>
    <w:semiHidden/>
    <w:unhideWhenUsed/>
  </w:style>
  <w:style w:type="table" w:styleId="96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media1.sv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общий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Корнилова Дина Сергеевна</dc:creator>
  <cp:lastModifiedBy>boaal@NSO.LOC</cp:lastModifiedBy>
  <cp:revision>26</cp:revision>
  <dcterms:created xsi:type="dcterms:W3CDTF">2023-04-12T08:52:00Z</dcterms:created>
  <dcterms:modified xsi:type="dcterms:W3CDTF">2026-04-16T07:11:51Z</dcterms:modified>
  <cp:version>1048576</cp:version>
</cp:coreProperties>
</file>